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92090" w:rsidRDefault="00000000">
      <w:pPr>
        <w:widowControl w:val="0"/>
        <w:adjustRightInd/>
        <w:snapToGrid/>
        <w:spacing w:after="0" w:line="360" w:lineRule="auto"/>
        <w:jc w:val="center"/>
        <w:rPr>
          <w:rFonts w:ascii="SimHei" w:eastAsia="SimHei" w:hAnsi="SimHei" w:cs="Times New Roman"/>
          <w:b/>
          <w:bCs/>
          <w:spacing w:val="-6"/>
          <w:kern w:val="2"/>
          <w:sz w:val="24"/>
          <w:szCs w:val="24"/>
        </w:rPr>
      </w:pPr>
      <w:r>
        <w:rPr>
          <w:rFonts w:ascii="SimHei" w:eastAsia="SimHei" w:hAnsi="SimHei" w:cs="Times New Roman" w:hint="eastAsia"/>
          <w:b/>
          <w:bCs/>
          <w:spacing w:val="-6"/>
          <w:kern w:val="2"/>
          <w:sz w:val="24"/>
          <w:szCs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SimHei" w:eastAsia="SimHei" w:hAnsi="SimHei" w:cs="Times New Roman" w:hint="eastAsia"/>
          <w:b/>
          <w:bCs/>
          <w:spacing w:val="-6"/>
          <w:kern w:val="2"/>
          <w:sz w:val="24"/>
          <w:szCs w:val="24"/>
        </w:rPr>
        <w:instrText>ADDIN CNKISM.UserStyle</w:instrText>
      </w:r>
      <w:r>
        <w:rPr>
          <w:rFonts w:ascii="SimHei" w:eastAsia="SimHei" w:hAnsi="SimHei" w:cs="Times New Roman" w:hint="eastAsia"/>
          <w:b/>
          <w:bCs/>
          <w:spacing w:val="-6"/>
          <w:kern w:val="2"/>
          <w:sz w:val="24"/>
          <w:szCs w:val="24"/>
        </w:rPr>
      </w:r>
      <w:r>
        <w:rPr>
          <w:rFonts w:ascii="SimHei" w:eastAsia="SimHei" w:hAnsi="SimHei" w:cs="Times New Roman" w:hint="eastAsia"/>
          <w:b/>
          <w:bCs/>
          <w:spacing w:val="-6"/>
          <w:kern w:val="2"/>
          <w:sz w:val="24"/>
          <w:szCs w:val="24"/>
        </w:rPr>
        <w:fldChar w:fldCharType="end"/>
      </w:r>
    </w:p>
    <w:p w:rsidR="00492090" w:rsidRDefault="00000000">
      <w:pPr>
        <w:widowControl w:val="0"/>
        <w:adjustRightInd/>
        <w:snapToGrid/>
        <w:spacing w:after="0" w:line="360" w:lineRule="auto"/>
        <w:jc w:val="center"/>
        <w:rPr>
          <w:rFonts w:ascii="SimHei" w:eastAsia="SimHei" w:hAnsi="SimHei" w:cs="Times New Roman"/>
          <w:b/>
          <w:bCs/>
          <w:spacing w:val="-6"/>
          <w:kern w:val="2"/>
          <w:sz w:val="32"/>
          <w:szCs w:val="32"/>
        </w:rPr>
      </w:pPr>
      <w:r>
        <w:rPr>
          <w:rFonts w:ascii="SimHei" w:eastAsia="SimHei" w:hAnsi="SimHei" w:cs="Times New Roman" w:hint="eastAsia"/>
          <w:b/>
          <w:bCs/>
          <w:spacing w:val="-6"/>
          <w:kern w:val="2"/>
          <w:sz w:val="32"/>
          <w:szCs w:val="32"/>
        </w:rPr>
        <w:t>202</w:t>
      </w:r>
      <w:r w:rsidR="000338BE">
        <w:rPr>
          <w:rFonts w:ascii="SimHei" w:eastAsia="SimHei" w:hAnsi="SimHei" w:cs="Times New Roman"/>
          <w:b/>
          <w:bCs/>
          <w:spacing w:val="-6"/>
          <w:kern w:val="2"/>
          <w:sz w:val="32"/>
          <w:szCs w:val="32"/>
        </w:rPr>
        <w:t>5</w:t>
      </w:r>
      <w:r>
        <w:rPr>
          <w:rFonts w:ascii="SimHei" w:eastAsia="SimHei" w:hAnsi="SimHei" w:cs="Times New Roman" w:hint="eastAsia"/>
          <w:b/>
          <w:bCs/>
          <w:spacing w:val="-6"/>
          <w:kern w:val="2"/>
          <w:sz w:val="32"/>
          <w:szCs w:val="32"/>
        </w:rPr>
        <w:t>年全国硕士研究生招生考试《专硕农业综合二之 动物生理学》考试大纲</w:t>
      </w:r>
    </w:p>
    <w:p w:rsidR="00492090" w:rsidRDefault="00492090">
      <w:pPr>
        <w:spacing w:line="440" w:lineRule="exact"/>
        <w:ind w:firstLineChars="200" w:firstLine="480"/>
        <w:rPr>
          <w:rFonts w:ascii="FangSong_GB2312" w:eastAsia="FangSong_GB2312" w:hAnsi="FangSong_GB2312" w:cs="FangSong_GB2312"/>
          <w:b/>
          <w:sz w:val="24"/>
          <w:szCs w:val="24"/>
        </w:rPr>
      </w:pPr>
    </w:p>
    <w:p w:rsidR="00492090" w:rsidRDefault="00000000">
      <w:pPr>
        <w:widowControl w:val="0"/>
        <w:adjustRightInd/>
        <w:snapToGrid/>
        <w:spacing w:after="0" w:line="440" w:lineRule="exact"/>
        <w:jc w:val="both"/>
        <w:rPr>
          <w:rFonts w:ascii="SimHei" w:eastAsia="SimHei" w:hAnsi="SimHei" w:cs="SimHei"/>
          <w:color w:val="000000" w:themeColor="text1"/>
          <w:kern w:val="2"/>
          <w:sz w:val="28"/>
          <w:szCs w:val="28"/>
        </w:rPr>
      </w:pPr>
      <w:r>
        <w:rPr>
          <w:rFonts w:ascii="SimHei" w:eastAsia="SimHei" w:hAnsi="SimHei" w:cs="SimHei" w:hint="eastAsia"/>
          <w:color w:val="000000" w:themeColor="text1"/>
          <w:sz w:val="28"/>
          <w:szCs w:val="28"/>
        </w:rPr>
        <w:t>一、</w:t>
      </w:r>
      <w:r>
        <w:rPr>
          <w:rFonts w:ascii="SimHei" w:eastAsia="SimHei" w:hAnsi="SimHei" w:cs="SimHei" w:hint="eastAsia"/>
          <w:color w:val="000000" w:themeColor="text1"/>
          <w:kern w:val="2"/>
          <w:sz w:val="28"/>
          <w:szCs w:val="28"/>
        </w:rPr>
        <w:t>考试性质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动物生理学理论考试是为湖南农业大学畜牧学养殖专业招收研究生而设置的具有选拔性质的全国招生考试科目，其目的是科学、公平、有效地测试考生掌握大学本科阶段动物生理学的基础理论、基础知识和基本实验技能，以及运用动物生理学的基本理论、基本知识和基本方法分析和解决有关理论和实际问题的能力。</w:t>
      </w:r>
    </w:p>
    <w:p w:rsidR="00492090" w:rsidRDefault="00000000">
      <w:pPr>
        <w:widowControl w:val="0"/>
        <w:adjustRightInd/>
        <w:snapToGrid/>
        <w:spacing w:after="0" w:line="440" w:lineRule="exact"/>
        <w:jc w:val="both"/>
        <w:rPr>
          <w:rFonts w:ascii="SimHei" w:eastAsia="SimHei" w:hAnsi="SimHei" w:cs="SimHei"/>
          <w:color w:val="000000" w:themeColor="text1"/>
          <w:kern w:val="2"/>
          <w:sz w:val="28"/>
          <w:szCs w:val="28"/>
        </w:rPr>
      </w:pPr>
      <w:r>
        <w:rPr>
          <w:rFonts w:ascii="SimHei" w:eastAsia="SimHei" w:hAnsi="SimHei" w:cs="SimHei" w:hint="eastAsia"/>
          <w:color w:val="000000" w:themeColor="text1"/>
          <w:sz w:val="28"/>
          <w:szCs w:val="28"/>
        </w:rPr>
        <w:t>二、</w:t>
      </w:r>
      <w:r>
        <w:rPr>
          <w:rFonts w:ascii="SimHei" w:eastAsia="SimHei" w:hAnsi="SimHei" w:cs="SimHei" w:hint="eastAsia"/>
          <w:color w:val="000000" w:themeColor="text1"/>
          <w:kern w:val="2"/>
          <w:sz w:val="28"/>
          <w:szCs w:val="28"/>
        </w:rPr>
        <w:t>考查目标</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 xml:space="preserve"> 1、系统地掌握动物生理学的基本理论、基本知识和基本实验技能，能够从细胞和分子水平、器官和系统及整体水平理解动物机体的各种正常功能活动及其内在机制。</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2、能够运用动物生理学的基本理论、基本知识和基本方法分析和解决有关理论和实际问题。</w:t>
      </w:r>
    </w:p>
    <w:p w:rsidR="00492090" w:rsidRDefault="00000000">
      <w:pPr>
        <w:widowControl w:val="0"/>
        <w:adjustRightInd/>
        <w:snapToGrid/>
        <w:spacing w:after="0" w:line="440" w:lineRule="exact"/>
        <w:jc w:val="both"/>
        <w:rPr>
          <w:rFonts w:ascii="SimHei" w:eastAsia="SimHei" w:hAnsi="SimHei" w:cs="SimHei"/>
          <w:color w:val="000000" w:themeColor="text1"/>
          <w:kern w:val="2"/>
          <w:sz w:val="28"/>
          <w:szCs w:val="28"/>
        </w:rPr>
      </w:pPr>
      <w:r>
        <w:rPr>
          <w:rFonts w:ascii="SimHei" w:eastAsia="SimHei" w:hAnsi="SimHei" w:cs="SimHei" w:hint="eastAsia"/>
          <w:color w:val="000000" w:themeColor="text1"/>
          <w:sz w:val="28"/>
          <w:szCs w:val="28"/>
        </w:rPr>
        <w:t>三、</w:t>
      </w:r>
      <w:r>
        <w:rPr>
          <w:rFonts w:ascii="SimHei" w:eastAsia="SimHei" w:hAnsi="SimHei" w:cs="SimHei" w:hint="eastAsia"/>
          <w:color w:val="000000" w:themeColor="text1"/>
          <w:kern w:val="2"/>
          <w:sz w:val="28"/>
          <w:szCs w:val="28"/>
        </w:rPr>
        <w:t>考试形式和试卷结构</w:t>
      </w:r>
    </w:p>
    <w:p w:rsidR="00492090" w:rsidRDefault="00000000">
      <w:pPr>
        <w:widowControl w:val="0"/>
        <w:adjustRightInd/>
        <w:snapToGrid/>
        <w:spacing w:after="0" w:line="440" w:lineRule="exact"/>
        <w:ind w:firstLineChars="200" w:firstLine="480"/>
        <w:jc w:val="both"/>
        <w:rPr>
          <w:rFonts w:ascii="FangSong_GB2312" w:eastAsia="FangSong_GB2312" w:hAnsi="FangSong_GB2312" w:cs="FangSong_GB2312"/>
          <w:b/>
          <w:kern w:val="2"/>
          <w:sz w:val="24"/>
          <w:szCs w:val="24"/>
        </w:rPr>
      </w:pPr>
      <w:r>
        <w:rPr>
          <w:rFonts w:ascii="FangSong_GB2312" w:eastAsia="FangSong_GB2312" w:hAnsi="FangSong_GB2312" w:cs="FangSong_GB2312" w:hint="eastAsia"/>
          <w:b/>
          <w:sz w:val="24"/>
          <w:szCs w:val="24"/>
        </w:rPr>
        <w:t>（一）</w:t>
      </w:r>
      <w:r>
        <w:rPr>
          <w:rFonts w:ascii="FangSong_GB2312" w:eastAsia="FangSong_GB2312" w:hAnsi="FangSong_GB2312" w:cs="FangSong_GB2312" w:hint="eastAsia"/>
          <w:b/>
          <w:kern w:val="2"/>
          <w:sz w:val="24"/>
          <w:szCs w:val="24"/>
        </w:rPr>
        <w:t>试卷满分及考试时间</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本试卷满分为150分，考试时间为180分钟。（动物生理学为50分）</w:t>
      </w:r>
    </w:p>
    <w:p w:rsidR="00492090" w:rsidRDefault="00000000">
      <w:pPr>
        <w:widowControl w:val="0"/>
        <w:adjustRightInd/>
        <w:snapToGrid/>
        <w:spacing w:after="0" w:line="440" w:lineRule="exact"/>
        <w:ind w:firstLineChars="200" w:firstLine="480"/>
        <w:jc w:val="both"/>
        <w:rPr>
          <w:rFonts w:ascii="FangSong_GB2312" w:eastAsia="FangSong_GB2312" w:hAnsi="FangSong_GB2312" w:cs="FangSong_GB2312"/>
          <w:b/>
          <w:kern w:val="2"/>
          <w:sz w:val="24"/>
          <w:szCs w:val="24"/>
        </w:rPr>
      </w:pPr>
      <w:r>
        <w:rPr>
          <w:rFonts w:ascii="FangSong_GB2312" w:eastAsia="FangSong_GB2312" w:hAnsi="FangSong_GB2312" w:cs="FangSong_GB2312" w:hint="eastAsia"/>
          <w:b/>
          <w:sz w:val="24"/>
          <w:szCs w:val="24"/>
        </w:rPr>
        <w:t>（二）</w:t>
      </w:r>
      <w:r>
        <w:rPr>
          <w:rFonts w:ascii="FangSong_GB2312" w:eastAsia="FangSong_GB2312" w:hAnsi="FangSong_GB2312" w:cs="FangSong_GB2312" w:hint="eastAsia"/>
          <w:b/>
          <w:kern w:val="2"/>
          <w:sz w:val="24"/>
          <w:szCs w:val="24"/>
        </w:rPr>
        <w:t>答题方式</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答题方式为闭卷、笔试。</w:t>
      </w:r>
    </w:p>
    <w:p w:rsidR="00492090" w:rsidRDefault="00000000">
      <w:pPr>
        <w:widowControl w:val="0"/>
        <w:adjustRightInd/>
        <w:snapToGrid/>
        <w:spacing w:after="0" w:line="440" w:lineRule="exact"/>
        <w:ind w:firstLineChars="200" w:firstLine="480"/>
        <w:jc w:val="both"/>
        <w:rPr>
          <w:rFonts w:ascii="FangSong_GB2312" w:eastAsia="FangSong_GB2312" w:hAnsi="FangSong_GB2312" w:cs="FangSong_GB2312"/>
          <w:b/>
          <w:kern w:val="2"/>
          <w:sz w:val="24"/>
          <w:szCs w:val="24"/>
        </w:rPr>
      </w:pPr>
      <w:r>
        <w:rPr>
          <w:rFonts w:ascii="FangSong_GB2312" w:eastAsia="FangSong_GB2312" w:hAnsi="FangSong_GB2312" w:cs="FangSong_GB2312" w:hint="eastAsia"/>
          <w:b/>
          <w:sz w:val="24"/>
          <w:szCs w:val="24"/>
        </w:rPr>
        <w:t>（三）</w:t>
      </w:r>
      <w:r>
        <w:rPr>
          <w:rFonts w:ascii="FangSong_GB2312" w:eastAsia="FangSong_GB2312" w:hAnsi="FangSong_GB2312" w:cs="FangSong_GB2312" w:hint="eastAsia"/>
          <w:b/>
          <w:kern w:val="2"/>
          <w:sz w:val="24"/>
          <w:szCs w:val="24"/>
        </w:rPr>
        <w:t>试卷内容结构</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动物遗传学  50分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动物生理学  50分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动物营养学  50分</w:t>
      </w:r>
    </w:p>
    <w:p w:rsidR="00492090" w:rsidRDefault="00000000">
      <w:pPr>
        <w:spacing w:line="440" w:lineRule="exact"/>
        <w:ind w:firstLineChars="200" w:firstLine="480"/>
        <w:rPr>
          <w:rFonts w:ascii="FangSong_GB2312" w:eastAsia="FangSong_GB2312" w:hAnsi="FangSong_GB2312" w:cs="FangSong_GB2312"/>
          <w:b/>
          <w:sz w:val="24"/>
          <w:szCs w:val="24"/>
        </w:rPr>
      </w:pPr>
      <w:r>
        <w:rPr>
          <w:rFonts w:ascii="FangSong_GB2312" w:eastAsia="FangSong_GB2312" w:hAnsi="FangSong_GB2312" w:cs="FangSong_GB2312" w:hint="eastAsia"/>
          <w:b/>
          <w:sz w:val="24"/>
          <w:szCs w:val="24"/>
        </w:rPr>
        <w:t>四、试卷题型结构</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名词解释18分（6小题，每小题3分）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问答题32分（4小题，每小题8分）</w:t>
      </w:r>
    </w:p>
    <w:p w:rsidR="00492090" w:rsidRDefault="00000000">
      <w:pPr>
        <w:widowControl w:val="0"/>
        <w:adjustRightInd/>
        <w:snapToGrid/>
        <w:spacing w:after="0" w:line="440" w:lineRule="exact"/>
        <w:jc w:val="both"/>
        <w:rPr>
          <w:rFonts w:ascii="SimHei" w:eastAsia="SimHei" w:hAnsi="SimHei" w:cs="SimHei"/>
          <w:color w:val="000000" w:themeColor="text1"/>
          <w:kern w:val="2"/>
          <w:sz w:val="28"/>
          <w:szCs w:val="28"/>
        </w:rPr>
      </w:pPr>
      <w:r>
        <w:rPr>
          <w:rFonts w:ascii="SimHei" w:eastAsia="SimHei" w:hAnsi="SimHei" w:cs="SimHei" w:hint="eastAsia"/>
          <w:color w:val="000000" w:themeColor="text1"/>
          <w:sz w:val="28"/>
          <w:szCs w:val="28"/>
        </w:rPr>
        <w:t>四、</w:t>
      </w:r>
      <w:r>
        <w:rPr>
          <w:rFonts w:ascii="SimHei" w:eastAsia="SimHei" w:hAnsi="SimHei" w:cs="SimHei" w:hint="eastAsia"/>
          <w:color w:val="000000" w:themeColor="text1"/>
          <w:kern w:val="2"/>
          <w:sz w:val="28"/>
          <w:szCs w:val="28"/>
        </w:rPr>
        <w:t>考查内容</w:t>
      </w:r>
    </w:p>
    <w:p w:rsidR="00492090" w:rsidRDefault="00000000">
      <w:pPr>
        <w:spacing w:line="440" w:lineRule="exact"/>
        <w:ind w:leftChars="218" w:left="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1动物生理学 绪论</w:t>
      </w:r>
      <w:r>
        <w:rPr>
          <w:rFonts w:ascii="FangSong_GB2312" w:eastAsia="FangSong_GB2312" w:hAnsi="FangSong_GB2312" w:cs="FangSong_GB2312" w:hint="eastAsia"/>
          <w:sz w:val="24"/>
          <w:szCs w:val="24"/>
        </w:rPr>
        <w:br/>
        <w:t>1.1 内环境及内环境稳态</w:t>
      </w:r>
      <w:r>
        <w:rPr>
          <w:rFonts w:ascii="FangSong_GB2312" w:eastAsia="FangSong_GB2312" w:hAnsi="FangSong_GB2312" w:cs="FangSong_GB2312" w:hint="eastAsia"/>
          <w:sz w:val="24"/>
          <w:szCs w:val="24"/>
        </w:rPr>
        <w:br/>
        <w:t>1.1.1 细胞外液与内环境</w:t>
      </w:r>
      <w:r>
        <w:rPr>
          <w:rFonts w:ascii="FangSong_GB2312" w:eastAsia="FangSong_GB2312" w:hAnsi="FangSong_GB2312" w:cs="FangSong_GB2312" w:hint="eastAsia"/>
          <w:sz w:val="24"/>
          <w:szCs w:val="24"/>
        </w:rPr>
        <w:br/>
        <w:t>1.1.2 内环境的理化成分及内环境稳态</w:t>
      </w:r>
      <w:r>
        <w:rPr>
          <w:rFonts w:ascii="FangSong_GB2312" w:eastAsia="FangSong_GB2312" w:hAnsi="FangSong_GB2312" w:cs="FangSong_GB2312" w:hint="eastAsia"/>
          <w:sz w:val="24"/>
          <w:szCs w:val="24"/>
        </w:rPr>
        <w:br/>
        <w:t>1.2 生理功能的调节及其调控</w:t>
      </w:r>
      <w:r>
        <w:rPr>
          <w:rFonts w:ascii="FangSong_GB2312" w:eastAsia="FangSong_GB2312" w:hAnsi="FangSong_GB2312" w:cs="FangSong_GB2312" w:hint="eastAsia"/>
          <w:sz w:val="24"/>
          <w:szCs w:val="24"/>
        </w:rPr>
        <w:br/>
        <w:t>1.2.1 生理功能的调节方式</w:t>
      </w:r>
      <w:r>
        <w:rPr>
          <w:rFonts w:ascii="FangSong_GB2312" w:eastAsia="FangSong_GB2312" w:hAnsi="FangSong_GB2312" w:cs="FangSong_GB2312" w:hint="eastAsia"/>
          <w:sz w:val="24"/>
          <w:szCs w:val="24"/>
        </w:rPr>
        <w:br/>
        <w:t>1.2.2 生理功能的控制系统</w:t>
      </w:r>
      <w:r>
        <w:rPr>
          <w:rFonts w:ascii="FangSong_GB2312" w:eastAsia="FangSong_GB2312" w:hAnsi="FangSong_GB2312" w:cs="FangSong_GB2312" w:hint="eastAsia"/>
          <w:sz w:val="24"/>
          <w:szCs w:val="24"/>
        </w:rPr>
        <w:br/>
        <w:t>第一篇 动物生理学的细胞学基础</w:t>
      </w:r>
      <w:r>
        <w:rPr>
          <w:rFonts w:ascii="FangSong_GB2312" w:eastAsia="FangSong_GB2312" w:hAnsi="FangSong_GB2312" w:cs="FangSong_GB2312" w:hint="eastAsia"/>
          <w:sz w:val="24"/>
          <w:szCs w:val="24"/>
        </w:rPr>
        <w:br/>
        <w:t>2 细胞膜的物质转运功能</w:t>
      </w:r>
      <w:r>
        <w:rPr>
          <w:rFonts w:ascii="FangSong_GB2312" w:eastAsia="FangSong_GB2312" w:hAnsi="FangSong_GB2312" w:cs="FangSong_GB2312" w:hint="eastAsia"/>
          <w:sz w:val="24"/>
          <w:szCs w:val="24"/>
        </w:rPr>
        <w:br/>
        <w:t>2.1 细胞膜的物质转运功能</w:t>
      </w:r>
      <w:r>
        <w:rPr>
          <w:rFonts w:ascii="FangSong_GB2312" w:eastAsia="FangSong_GB2312" w:hAnsi="FangSong_GB2312" w:cs="FangSong_GB2312" w:hint="eastAsia"/>
          <w:sz w:val="24"/>
          <w:szCs w:val="24"/>
        </w:rPr>
        <w:br/>
        <w:t>2.1.1 被动转运</w:t>
      </w:r>
      <w:r>
        <w:rPr>
          <w:rFonts w:ascii="FangSong_GB2312" w:eastAsia="FangSong_GB2312" w:hAnsi="FangSong_GB2312" w:cs="FangSong_GB2312" w:hint="eastAsia"/>
          <w:sz w:val="24"/>
          <w:szCs w:val="24"/>
        </w:rPr>
        <w:br/>
        <w:t>2.1.2 主动转运</w:t>
      </w:r>
      <w:r>
        <w:rPr>
          <w:rFonts w:ascii="FangSong_GB2312" w:eastAsia="FangSong_GB2312" w:hAnsi="FangSong_GB2312" w:cs="FangSong_GB2312" w:hint="eastAsia"/>
          <w:sz w:val="24"/>
          <w:szCs w:val="24"/>
        </w:rPr>
        <w:br/>
        <w:t>2.1.3 胞吞与胞吐作用</w:t>
      </w:r>
      <w:r>
        <w:rPr>
          <w:rFonts w:ascii="FangSong_GB2312" w:eastAsia="FangSong_GB2312" w:hAnsi="FangSong_GB2312" w:cs="FangSong_GB2312" w:hint="eastAsia"/>
          <w:sz w:val="24"/>
          <w:szCs w:val="24"/>
        </w:rPr>
        <w:br/>
        <w:t>3 细胞间的通讯与信号转导</w:t>
      </w:r>
      <w:r>
        <w:rPr>
          <w:rFonts w:ascii="FangSong_GB2312" w:eastAsia="FangSong_GB2312" w:hAnsi="FangSong_GB2312" w:cs="FangSong_GB2312" w:hint="eastAsia"/>
          <w:sz w:val="24"/>
          <w:szCs w:val="24"/>
        </w:rPr>
        <w:br/>
        <w:t>3.1 细胞间的通讯</w:t>
      </w:r>
      <w:r>
        <w:rPr>
          <w:rFonts w:ascii="FangSong_GB2312" w:eastAsia="FangSong_GB2312" w:hAnsi="FangSong_GB2312" w:cs="FangSong_GB2312" w:hint="eastAsia"/>
          <w:sz w:val="24"/>
          <w:szCs w:val="24"/>
        </w:rPr>
        <w:br/>
        <w:t>3.1.1 细胞间的通讯的方式</w:t>
      </w:r>
      <w:r>
        <w:rPr>
          <w:rFonts w:ascii="FangSong_GB2312" w:eastAsia="FangSong_GB2312" w:hAnsi="FangSong_GB2312" w:cs="FangSong_GB2312" w:hint="eastAsia"/>
          <w:sz w:val="24"/>
          <w:szCs w:val="24"/>
        </w:rPr>
        <w:br/>
        <w:t>3.1.2 细胞间通讯的信号物质——化学信使</w:t>
      </w:r>
      <w:r>
        <w:rPr>
          <w:rFonts w:ascii="FangSong_GB2312" w:eastAsia="FangSong_GB2312" w:hAnsi="FangSong_GB2312" w:cs="FangSong_GB2312" w:hint="eastAsia"/>
          <w:sz w:val="24"/>
          <w:szCs w:val="24"/>
        </w:rPr>
        <w:br/>
        <w:t>3.1.3 细胞间通讯中的受体</w:t>
      </w:r>
      <w:r>
        <w:rPr>
          <w:rFonts w:ascii="FangSong_GB2312" w:eastAsia="FangSong_GB2312" w:hAnsi="FangSong_GB2312" w:cs="FangSong_GB2312" w:hint="eastAsia"/>
          <w:sz w:val="24"/>
          <w:szCs w:val="24"/>
        </w:rPr>
        <w:br/>
        <w:t>3.2 细胞的信号转导机制</w:t>
      </w:r>
      <w:r>
        <w:rPr>
          <w:rFonts w:ascii="FangSong_GB2312" w:eastAsia="FangSong_GB2312" w:hAnsi="FangSong_GB2312" w:cs="FangSong_GB2312" w:hint="eastAsia"/>
          <w:sz w:val="24"/>
          <w:szCs w:val="24"/>
        </w:rPr>
        <w:br/>
        <w:t>3.2.1 膜结合受体介导的信号转导机制</w:t>
      </w:r>
      <w:r>
        <w:rPr>
          <w:rFonts w:ascii="FangSong_GB2312" w:eastAsia="FangSong_GB2312" w:hAnsi="FangSong_GB2312" w:cs="FangSong_GB2312" w:hint="eastAsia"/>
          <w:sz w:val="24"/>
          <w:szCs w:val="24"/>
        </w:rPr>
        <w:br/>
        <w:t>3.2.2 胞内受体介导的信号转导机制</w:t>
      </w:r>
      <w:r>
        <w:rPr>
          <w:rFonts w:ascii="FangSong_GB2312" w:eastAsia="FangSong_GB2312" w:hAnsi="FangSong_GB2312" w:cs="FangSong_GB2312" w:hint="eastAsia"/>
          <w:sz w:val="24"/>
          <w:szCs w:val="24"/>
        </w:rPr>
        <w:br/>
        <w:t>4 神经元的电活动与兴奋性</w:t>
      </w:r>
      <w:r>
        <w:rPr>
          <w:rFonts w:ascii="FangSong_GB2312" w:eastAsia="FangSong_GB2312" w:hAnsi="FangSong_GB2312" w:cs="FangSong_GB2312" w:hint="eastAsia"/>
          <w:sz w:val="24"/>
          <w:szCs w:val="24"/>
        </w:rPr>
        <w:br/>
        <w:t>4.1 概述</w:t>
      </w:r>
      <w:r>
        <w:rPr>
          <w:rFonts w:ascii="FangSong_GB2312" w:eastAsia="FangSong_GB2312" w:hAnsi="FangSong_GB2312" w:cs="FangSong_GB2312" w:hint="eastAsia"/>
          <w:sz w:val="24"/>
          <w:szCs w:val="24"/>
        </w:rPr>
        <w:br/>
        <w:t>4.1.1 静息电位</w:t>
      </w:r>
      <w:r>
        <w:rPr>
          <w:rFonts w:ascii="FangSong_GB2312" w:eastAsia="FangSong_GB2312" w:hAnsi="FangSong_GB2312" w:cs="FangSong_GB2312" w:hint="eastAsia"/>
          <w:sz w:val="24"/>
          <w:szCs w:val="24"/>
        </w:rPr>
        <w:br/>
        <w:t>4.1.2 动作电位</w:t>
      </w:r>
      <w:r>
        <w:rPr>
          <w:rFonts w:ascii="FangSong_GB2312" w:eastAsia="FangSong_GB2312" w:hAnsi="FangSong_GB2312" w:cs="FangSong_GB2312" w:hint="eastAsia"/>
          <w:sz w:val="24"/>
          <w:szCs w:val="24"/>
        </w:rPr>
        <w:br/>
        <w:t>4.2 生物电产生机制</w:t>
      </w:r>
      <w:r>
        <w:rPr>
          <w:rFonts w:ascii="FangSong_GB2312" w:eastAsia="FangSong_GB2312" w:hAnsi="FangSong_GB2312" w:cs="FangSong_GB2312" w:hint="eastAsia"/>
          <w:sz w:val="24"/>
          <w:szCs w:val="24"/>
        </w:rPr>
        <w:br/>
        <w:t>4.2.1 静息电位的产生机制</w:t>
      </w:r>
      <w:r>
        <w:rPr>
          <w:rFonts w:ascii="FangSong_GB2312" w:eastAsia="FangSong_GB2312" w:hAnsi="FangSong_GB2312" w:cs="FangSong_GB2312" w:hint="eastAsia"/>
          <w:sz w:val="24"/>
          <w:szCs w:val="24"/>
        </w:rPr>
        <w:br/>
        <w:t>4.2.2 动作电位的产生机制</w:t>
      </w:r>
      <w:r>
        <w:rPr>
          <w:rFonts w:ascii="FangSong_GB2312" w:eastAsia="FangSong_GB2312" w:hAnsi="FangSong_GB2312" w:cs="FangSong_GB2312" w:hint="eastAsia"/>
          <w:sz w:val="24"/>
          <w:szCs w:val="24"/>
        </w:rPr>
        <w:br/>
        <w:t>4.2.3 动作电位的引起、传导及其特性</w:t>
      </w:r>
      <w:r>
        <w:rPr>
          <w:rFonts w:ascii="FangSong_GB2312" w:eastAsia="FangSong_GB2312" w:hAnsi="FangSong_GB2312" w:cs="FangSong_GB2312" w:hint="eastAsia"/>
          <w:sz w:val="24"/>
          <w:szCs w:val="24"/>
        </w:rPr>
        <w:br/>
      </w:r>
      <w:r>
        <w:rPr>
          <w:rFonts w:ascii="FangSong_GB2312" w:eastAsia="FangSong_GB2312" w:hAnsi="FangSong_GB2312" w:cs="FangSong_GB2312" w:hint="eastAsia"/>
          <w:sz w:val="24"/>
          <w:szCs w:val="24"/>
        </w:rPr>
        <w:lastRenderedPageBreak/>
        <w:t>4.2.4 局部电位</w:t>
      </w:r>
      <w:r>
        <w:rPr>
          <w:rFonts w:ascii="FangSong_GB2312" w:eastAsia="FangSong_GB2312" w:hAnsi="FangSong_GB2312" w:cs="FangSong_GB2312" w:hint="eastAsia"/>
          <w:sz w:val="24"/>
          <w:szCs w:val="24"/>
        </w:rPr>
        <w:br/>
        <w:t>4.3 细胞的兴奋性和刺激引起兴奋的条件</w:t>
      </w:r>
      <w:r>
        <w:rPr>
          <w:rFonts w:ascii="FangSong_GB2312" w:eastAsia="FangSong_GB2312" w:hAnsi="FangSong_GB2312" w:cs="FangSong_GB2312" w:hint="eastAsia"/>
          <w:sz w:val="24"/>
          <w:szCs w:val="24"/>
        </w:rPr>
        <w:br/>
        <w:t>4.3.1 兴奋、兴奋性与可兴奋细胞</w:t>
      </w:r>
      <w:r>
        <w:rPr>
          <w:rFonts w:ascii="FangSong_GB2312" w:eastAsia="FangSong_GB2312" w:hAnsi="FangSong_GB2312" w:cs="FangSong_GB2312" w:hint="eastAsia"/>
          <w:sz w:val="24"/>
          <w:szCs w:val="24"/>
        </w:rPr>
        <w:br/>
        <w:t>4.3.2 刺激引起兴奋的条件</w:t>
      </w:r>
      <w:r>
        <w:rPr>
          <w:rFonts w:ascii="FangSong_GB2312" w:eastAsia="FangSong_GB2312" w:hAnsi="FangSong_GB2312" w:cs="FangSong_GB2312" w:hint="eastAsia"/>
          <w:sz w:val="24"/>
          <w:szCs w:val="24"/>
        </w:rPr>
        <w:br/>
        <w:t>4.3.3 细胞兴奋时的兴奋性变化</w:t>
      </w:r>
      <w:r>
        <w:rPr>
          <w:rFonts w:ascii="FangSong_GB2312" w:eastAsia="FangSong_GB2312" w:hAnsi="FangSong_GB2312" w:cs="FangSong_GB2312" w:hint="eastAsia"/>
          <w:sz w:val="24"/>
          <w:szCs w:val="24"/>
        </w:rPr>
        <w:br/>
        <w:t>4.3.4 影响兴奋性的因素</w:t>
      </w:r>
      <w:r>
        <w:rPr>
          <w:rFonts w:ascii="FangSong_GB2312" w:eastAsia="FangSong_GB2312" w:hAnsi="FangSong_GB2312" w:cs="FangSong_GB2312" w:hint="eastAsia"/>
          <w:sz w:val="24"/>
          <w:szCs w:val="24"/>
        </w:rPr>
        <w:br/>
        <w:t>5 神经元间的信号传递</w:t>
      </w:r>
      <w:r>
        <w:rPr>
          <w:rFonts w:ascii="FangSong_GB2312" w:eastAsia="FangSong_GB2312" w:hAnsi="FangSong_GB2312" w:cs="FangSong_GB2312" w:hint="eastAsia"/>
          <w:sz w:val="24"/>
          <w:szCs w:val="24"/>
        </w:rPr>
        <w:br/>
        <w:t>5.1 神经电信号传递的一般概念</w:t>
      </w:r>
      <w:r>
        <w:rPr>
          <w:rFonts w:ascii="FangSong_GB2312" w:eastAsia="FangSong_GB2312" w:hAnsi="FangSong_GB2312" w:cs="FangSong_GB2312" w:hint="eastAsia"/>
          <w:sz w:val="24"/>
          <w:szCs w:val="24"/>
        </w:rPr>
        <w:br/>
        <w:t>5.2 经典突触及其传递</w:t>
      </w:r>
      <w:r>
        <w:rPr>
          <w:rFonts w:ascii="FangSong_GB2312" w:eastAsia="FangSong_GB2312" w:hAnsi="FangSong_GB2312" w:cs="FangSong_GB2312" w:hint="eastAsia"/>
          <w:sz w:val="24"/>
          <w:szCs w:val="24"/>
        </w:rPr>
        <w:br/>
        <w:t>5.2.1经典突触传递过程</w:t>
      </w:r>
      <w:r>
        <w:rPr>
          <w:rFonts w:ascii="FangSong_GB2312" w:eastAsia="FangSong_GB2312" w:hAnsi="FangSong_GB2312" w:cs="FangSong_GB2312" w:hint="eastAsia"/>
          <w:sz w:val="24"/>
          <w:szCs w:val="24"/>
        </w:rPr>
        <w:br/>
        <w:t>5.2.2经典突触传递特点</w:t>
      </w:r>
      <w:r>
        <w:rPr>
          <w:rFonts w:ascii="FangSong_GB2312" w:eastAsia="FangSong_GB2312" w:hAnsi="FangSong_GB2312" w:cs="FangSong_GB2312" w:hint="eastAsia"/>
          <w:sz w:val="24"/>
          <w:szCs w:val="24"/>
        </w:rPr>
        <w:br/>
        <w:t>5.3 非定向突触传递</w:t>
      </w:r>
      <w:r>
        <w:rPr>
          <w:rFonts w:ascii="FangSong_GB2312" w:eastAsia="FangSong_GB2312" w:hAnsi="FangSong_GB2312" w:cs="FangSong_GB2312" w:hint="eastAsia"/>
          <w:sz w:val="24"/>
          <w:szCs w:val="24"/>
        </w:rPr>
        <w:br/>
        <w:t>5.3.1非定向突触传递及其特征</w:t>
      </w:r>
      <w:r>
        <w:rPr>
          <w:rFonts w:ascii="FangSong_GB2312" w:eastAsia="FangSong_GB2312" w:hAnsi="FangSong_GB2312" w:cs="FangSong_GB2312" w:hint="eastAsia"/>
          <w:sz w:val="24"/>
          <w:szCs w:val="24"/>
        </w:rPr>
        <w:br/>
        <w:t>5.4 影响化学性突触传递的因素</w:t>
      </w:r>
      <w:r>
        <w:rPr>
          <w:rFonts w:ascii="FangSong_GB2312" w:eastAsia="FangSong_GB2312" w:hAnsi="FangSong_GB2312" w:cs="FangSong_GB2312" w:hint="eastAsia"/>
          <w:sz w:val="24"/>
          <w:szCs w:val="24"/>
        </w:rPr>
        <w:br/>
        <w:t>5.4.1 影响突触前膜递质释放的因素</w:t>
      </w:r>
      <w:r>
        <w:rPr>
          <w:rFonts w:ascii="FangSong_GB2312" w:eastAsia="FangSong_GB2312" w:hAnsi="FangSong_GB2312" w:cs="FangSong_GB2312" w:hint="eastAsia"/>
          <w:sz w:val="24"/>
          <w:szCs w:val="24"/>
        </w:rPr>
        <w:br/>
        <w:t>5.4.2 影响突触间隙中递质清除的因素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5.4.3 影响突触后膜受体的因素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5.5 化学性突触传递的信使物质及其受体</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5.5.1 神经递质、神经调质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5.5.2 受体</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5.5.3 几种主要的神经递质和受体系统</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6 肌细胞的功能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6.1 骨骼肌细胞</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6.2.1 骨骼肌细胞的生物电特征及神经与骨骼肌细胞间的兴奋传递</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6.2.2 骨骼肌收缩与舒张机制</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6.2.3 骨骼肌细胞的兴奋-收缩耦联</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6.2.4 骨骼肌收缩的形式及影响因素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第二篇 器官生理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 血液</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7.1 血液的组成与理化特性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7.1.1 血液的组成与血量</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7.1.2 血液的理化特性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7.1.3 血液的功能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7.2 血细胞及其功能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7.2.1 血细胞的生成</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7.2.2 红细胞生理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7.2.3 白细胞生理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7.2.4 血小板生理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7.3 血液凝固与纤维蛋白溶解</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7.3.1 血液凝固 24341</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7.3.2 纤维蛋白溶解</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 血液循环</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8.1 心肌的生理特性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8.1.1 心肌的兴奋性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8.1.2 心肌的传导性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8.1.3 心肌的收缩特性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8.1.4 心肌的自动节律性与心脏的起搏点</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8.2 心脏的泵血功能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8.2.1 心脏泵血功能周期性活动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8.2.2 心脏泵血功能的评定</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8.2.3 心脏泵血功能的储备</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8.3 血管生理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8.3.1 血管的种类与功能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8.3.2 血流动力学——血流量、血流阻力与血压</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8.3.3 动脉血压与动脉脉搏</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8.3.4 微循环</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8.3.5 组织液与淋巴液的生成</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8.4 心血管活动的调节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8.4.1 心血管活动的神经调节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8.4.2 心血管活动的体液调节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8.4.3 局部血流调节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 呼吸</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9.1 呼吸器官的通气活动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9.1.1 哺乳类动物的通气活动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9.2 气体交换</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9.2.1 气体交换原理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9.2.2 组织中的气体交换及其影响因素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9.3 气体在血液中的运输</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9.3.1 氧及二氧化碳在血液中的存在形式</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9.3.2 氧的运输</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9.3.3 二氧化碳的运输</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9.4 呼吸运动的调节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9.4.1 神经调节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9.4.2 化学因素对呼吸的调节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 消化与吸收</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10.1 概述</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10.1.1 消化的主要方式</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10.1.2 消化道的结构与神经支配</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10.1.3 消化管平滑肌的生理特性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10.1.4 胃肠激素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10.2 动物的摄食方式与摄食调节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10.2.1 摄食方式</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10.2.2 动物摄食调节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10.3 口腔消化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10.3.1 口腔的物理性消化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10.3.2 口腔的化学性消化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10.4 单胃的消化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10.4.1 胃的物理性消化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10.4.2 胃的化学性消化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10.5 复胃的消化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10.5.1 反刍动物的复胃结构及其功能概述</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10.5.2 复胃的物理性消化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10.5.3 复胃的微生物消化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10.5.4 复胃动物的皱胃消化特点</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10.6 小肠的消化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10.6.1 小肠的物理性消化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10.6.2 小肠的化学性消化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10.6.3 肝的功能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10.7 大肠的消化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10.7.1 大肠的物理性消化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10.7.2 回盲括约肌的功能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10.7.3 大肠的化学性消化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10.7.4 大肠的微生物消化</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10.8 禽类与鱼类消化的特点</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10.8.1 禽类消化的特点</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10.9 吸收</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10.9.1 概述</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10.9.2 主要营养物质的吸收</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11 能量代谢及体温</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11.1 机体的能量代谢</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11.1.1 机体能量的来源和利用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11.1.2 能量代谢的测定</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11.1.3 影响能量代谢的主要因素和能量代谢的神经与体液调节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11.2 动物的体温及其调节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11.2.1 动物的体温</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11.2.2 动物的产热与散热过程</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11.2.3 体温的中枢调节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 排泄及渗透压调节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12.1 肾的功能解剖特征</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12.1.1 肾单位</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12.1.2 球旁器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12.1.3 肾的血液供应</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12.1.4 肾的神经支配</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12.2 尿的生成</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12.2.1 肾小球的滤过</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12.2.2 肾小管和集合管的重吸收与分泌作用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12.3 尿生成的调节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12.3.1 影响肾小球滤过作用的因素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12.3.2 影响肾小管物质转运作用的因素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12.4 尿的排出</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12.4.1 尿排放的神经支配</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12.4.2 排尿反射</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13 感觉器官与感觉</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13.1 感受器与感觉器官</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13.1.1感受器的一般生理特性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 神经系统的功能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14.1 神经系统的组成及其细胞成分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14.1.1 神经系统的组成</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14.1.2 神经元与神经胶质细胞</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14.2 反射活动的基本规律</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14.2.1中枢神经元的联系方式及其生理意义</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14.2.2 反射中枢内兴奋的传播</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14.2.3 中枢抑制</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14.2.5 反射活动的一般特性</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14.4 神经系统对躯体运动的调节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14.4.1 中枢对姿势的调节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14.5 神经系统对内脏活动的调节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14.5.1 自主神经的结构特征</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14.5.2 自主神经系统的功能特征</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14.5.3 内脏活动的中枢调节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 内分泌</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15.1 概述</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15.1.1 内分泌与内分泌系统</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15.1.2 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15.2 下丘脑的内分泌</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15.2.1 下丘脑与垂体的联系</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15.2.2 下丘脑促垂体区激素及生理作用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15.2.3 下丘脑激素分泌的调节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15.3 垂体的内分泌</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15.3.1 腺垂体激素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15.3.2 神经垂体激素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15.4 甲状腺</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15.4.1 甲状腺激素的化学结构</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15.4.2 甲状腺激素的合成</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15.4.3 甲状腺激素的贮存、释放、转运与代谢</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15.4.4 甲状腺激素的生理作用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15.4.5 甲状腺激素分泌的调节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15.5 甲状旁腺、甲状腺C细胞（鳃后体） 与调节钙、磷代谢的激素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15.5.1 甲状旁腺与甲状旁腺激素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15.5.2 甲状腺C细胞和降钙素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15.5.3 l，25-二羟维生素D3</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15.6 肾上腺</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15.6.1 肾上腺皮质激素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15.6.2 肾上腺髓质激素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15.7 胰岛</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15.7.1 胰岛素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15.7.2 胰高血糖素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15.7.3 胰岛分泌的其他激素</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 生殖与泌乳</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16.1 概述</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lastRenderedPageBreak/>
        <w:t>16.1.1 动物的性成熟与体成熟</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16.1.2 关于性周期与生殖季节</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16.2 哺乳动物的生殖活动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16.2.1 哺乳动物的性周期</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16.2.2 排卵与排卵后黄体</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16.2.3 受精与授精</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16.2.4 妊娠与分娩</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16.6 泌乳</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16.6.1 乳汁的分泌</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16.6.2 乳汁的排出</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第三篇 整合生理</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17 动物机体的神经、内分泌、免疫网络系统</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17.1 神经、内分泌、免疫系统以各自特有的方式调节机体的机能</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17.2 神经、内分泌、免疫系统之间复杂的相互作用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18 机体的酸碱平衡</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18.1 机体内的酸、碱平衡</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18.2 肾与肝在酸碱平衡中的协同作用</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18.3 酸碱平衡紊乱</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19 应激与适应</w:t>
      </w:r>
    </w:p>
    <w:p w:rsidR="00492090" w:rsidRDefault="00000000">
      <w:pPr>
        <w:spacing w:line="440" w:lineRule="exact"/>
        <w:ind w:firstLineChars="200" w:firstLine="480"/>
        <w:rPr>
          <w:rFonts w:ascii="FangSong_GB2312" w:eastAsia="FangSong_GB2312" w:hAnsi="FangSong_GB2312" w:cs="FangSong_GB2312"/>
          <w:sz w:val="24"/>
          <w:szCs w:val="24"/>
        </w:rPr>
      </w:pPr>
      <w:r>
        <w:rPr>
          <w:rFonts w:ascii="FangSong_GB2312" w:eastAsia="FangSong_GB2312" w:hAnsi="FangSong_GB2312" w:cs="FangSong_GB2312" w:hint="eastAsia"/>
          <w:sz w:val="24"/>
          <w:szCs w:val="24"/>
        </w:rPr>
        <w:t>19.1 应激概述</w:t>
      </w:r>
    </w:p>
    <w:p w:rsidR="00492090" w:rsidRDefault="00000000">
      <w:pPr>
        <w:spacing w:line="440" w:lineRule="exact"/>
        <w:ind w:firstLineChars="200" w:firstLine="480"/>
        <w:rPr>
          <w:rFonts w:ascii="FangSong_GB2312" w:eastAsia="FangSong_GB2312" w:hAnsi="FangSong_GB2312" w:cs="FangSong_GB2312"/>
          <w:color w:val="000000"/>
          <w:sz w:val="24"/>
          <w:szCs w:val="24"/>
        </w:rPr>
      </w:pPr>
      <w:r>
        <w:rPr>
          <w:rFonts w:ascii="FangSong_GB2312" w:eastAsia="FangSong_GB2312" w:hAnsi="FangSong_GB2312" w:cs="FangSong_GB2312" w:hint="eastAsia"/>
          <w:sz w:val="24"/>
          <w:szCs w:val="24"/>
        </w:rPr>
        <w:t>19.2 应激反应的生理学机制</w:t>
      </w:r>
    </w:p>
    <w:sectPr w:rsidR="00492090">
      <w:pgSz w:w="11906" w:h="16838"/>
      <w:pgMar w:top="1417" w:right="1474" w:bottom="1417" w:left="147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1A83" w:rsidRDefault="00B81A83">
      <w:pPr>
        <w:spacing w:after="0"/>
      </w:pPr>
      <w:r>
        <w:separator/>
      </w:r>
    </w:p>
  </w:endnote>
  <w:endnote w:type="continuationSeparator" w:id="0">
    <w:p w:rsidR="00B81A83" w:rsidRDefault="00B81A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9060101010101"/>
    <w:charset w:val="86"/>
    <w:family w:val="modern"/>
    <w:pitch w:val="fixed"/>
    <w:sig w:usb0="800002BF" w:usb1="38CF7CFA" w:usb2="00000016" w:usb3="00000000" w:csb0="00040001" w:csb1="00000000"/>
  </w:font>
  <w:font w:name="FangSong_GB2312">
    <w:altName w:val="Microsoft YaHei"/>
    <w:panose1 w:val="020B0604020202020204"/>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1A83" w:rsidRDefault="00B81A83">
      <w:pPr>
        <w:spacing w:after="0"/>
      </w:pPr>
      <w:r>
        <w:separator/>
      </w:r>
    </w:p>
  </w:footnote>
  <w:footnote w:type="continuationSeparator" w:id="0">
    <w:p w:rsidR="00B81A83" w:rsidRDefault="00B81A8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MyOGZmZWNjZTMzYjFiOTJlNjgzNzE1YWY4ZDE4MGUifQ=="/>
  </w:docVars>
  <w:rsids>
    <w:rsidRoot w:val="00D31D50"/>
    <w:rsid w:val="000338BE"/>
    <w:rsid w:val="001574AC"/>
    <w:rsid w:val="00231142"/>
    <w:rsid w:val="002343F9"/>
    <w:rsid w:val="00252694"/>
    <w:rsid w:val="002B2939"/>
    <w:rsid w:val="00323B43"/>
    <w:rsid w:val="003D37D8"/>
    <w:rsid w:val="003D39EF"/>
    <w:rsid w:val="00426133"/>
    <w:rsid w:val="004358AB"/>
    <w:rsid w:val="00492090"/>
    <w:rsid w:val="004E17D4"/>
    <w:rsid w:val="004E3AB9"/>
    <w:rsid w:val="00620D1E"/>
    <w:rsid w:val="006256B8"/>
    <w:rsid w:val="00654EDD"/>
    <w:rsid w:val="006C5E5D"/>
    <w:rsid w:val="006E5512"/>
    <w:rsid w:val="007062CC"/>
    <w:rsid w:val="00756C5D"/>
    <w:rsid w:val="007D766B"/>
    <w:rsid w:val="0085141A"/>
    <w:rsid w:val="00857AAD"/>
    <w:rsid w:val="00875405"/>
    <w:rsid w:val="008B7726"/>
    <w:rsid w:val="008F2912"/>
    <w:rsid w:val="008F6006"/>
    <w:rsid w:val="0096638B"/>
    <w:rsid w:val="009A23C7"/>
    <w:rsid w:val="009B294D"/>
    <w:rsid w:val="009D5FA8"/>
    <w:rsid w:val="00A51A1E"/>
    <w:rsid w:val="00AA69C8"/>
    <w:rsid w:val="00AB7E29"/>
    <w:rsid w:val="00AF68E9"/>
    <w:rsid w:val="00B81A83"/>
    <w:rsid w:val="00D31D50"/>
    <w:rsid w:val="00D41D3A"/>
    <w:rsid w:val="00D77F6C"/>
    <w:rsid w:val="00DE0A49"/>
    <w:rsid w:val="00F641D9"/>
    <w:rsid w:val="00FA34BF"/>
    <w:rsid w:val="0F513839"/>
    <w:rsid w:val="2A3736F9"/>
    <w:rsid w:val="4B6318B5"/>
    <w:rsid w:val="64127527"/>
    <w:rsid w:val="73D14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06CF9D6"/>
  <w15:docId w15:val="{472F36A9-F1EC-0748-A9B9-523D0D71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djustRightInd w:val="0"/>
      <w:snapToGrid w:val="0"/>
      <w:spacing w:after="200"/>
    </w:pPr>
    <w:rPr>
      <w:rFonts w:ascii="Tahoma" w:eastAsia="Microsoft YaHei" w:hAnsi="Tahoma"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pPr>
      <w:tabs>
        <w:tab w:val="center" w:pos="4153"/>
        <w:tab w:val="right" w:pos="8306"/>
      </w:tabs>
    </w:pPr>
    <w:rPr>
      <w:sz w:val="18"/>
      <w:szCs w:val="18"/>
    </w:rPr>
  </w:style>
  <w:style w:type="paragraph" w:styleId="Header">
    <w:name w:val="header"/>
    <w:basedOn w:val="Normal"/>
    <w:link w:val="HeaderChar"/>
    <w:uiPriority w:val="99"/>
    <w:semiHidden/>
    <w:unhideWhenUsed/>
    <w:pPr>
      <w:pBdr>
        <w:bottom w:val="single" w:sz="6" w:space="1" w:color="auto"/>
      </w:pBdr>
      <w:tabs>
        <w:tab w:val="center" w:pos="4153"/>
        <w:tab w:val="right" w:pos="8306"/>
      </w:tabs>
      <w:jc w:val="center"/>
    </w:pPr>
    <w:rPr>
      <w:sz w:val="18"/>
      <w:szCs w:val="18"/>
    </w:rPr>
  </w:style>
  <w:style w:type="paragraph" w:styleId="NormalWeb">
    <w:name w:val="Normal (Web)"/>
    <w:basedOn w:val="Normal"/>
    <w:uiPriority w:val="99"/>
    <w:semiHidden/>
    <w:unhideWhenUsed/>
    <w:pPr>
      <w:adjustRightInd/>
      <w:snapToGrid/>
      <w:spacing w:before="100" w:beforeAutospacing="1" w:after="100" w:afterAutospacing="1"/>
    </w:pPr>
    <w:rPr>
      <w:rFonts w:ascii="SimSun" w:eastAsia="SimSun" w:hAnsi="SimSun" w:cs="SimSun"/>
      <w:sz w:val="24"/>
      <w:szCs w:val="24"/>
    </w:rPr>
  </w:style>
  <w:style w:type="paragraph" w:styleId="ListParagraph">
    <w:name w:val="List Paragraph"/>
    <w:basedOn w:val="Normal"/>
    <w:uiPriority w:val="34"/>
    <w:qFormat/>
    <w:pPr>
      <w:ind w:firstLineChars="200" w:firstLine="420"/>
    </w:pPr>
  </w:style>
  <w:style w:type="paragraph" w:customStyle="1" w:styleId="Default">
    <w:name w:val="Default"/>
    <w:qFormat/>
    <w:pPr>
      <w:widowControl w:val="0"/>
      <w:autoSpaceDE w:val="0"/>
      <w:autoSpaceDN w:val="0"/>
      <w:adjustRightInd w:val="0"/>
    </w:pPr>
    <w:rPr>
      <w:rFonts w:ascii="Times New Roman" w:eastAsia="Microsoft YaHei" w:hAnsi="Times New Roman"/>
      <w:color w:val="000000"/>
      <w:sz w:val="24"/>
      <w:szCs w:val="24"/>
    </w:rPr>
  </w:style>
  <w:style w:type="character" w:customStyle="1" w:styleId="HeaderChar">
    <w:name w:val="Header Char"/>
    <w:basedOn w:val="DefaultParagraphFont"/>
    <w:link w:val="Header"/>
    <w:uiPriority w:val="99"/>
    <w:semiHidden/>
    <w:qFormat/>
    <w:rPr>
      <w:rFonts w:ascii="Tahoma" w:eastAsia="Microsoft YaHei" w:hAnsi="Tahoma" w:cstheme="minorBidi"/>
      <w:sz w:val="18"/>
      <w:szCs w:val="18"/>
    </w:rPr>
  </w:style>
  <w:style w:type="character" w:customStyle="1" w:styleId="FooterChar">
    <w:name w:val="Footer Char"/>
    <w:basedOn w:val="DefaultParagraphFont"/>
    <w:link w:val="Footer"/>
    <w:uiPriority w:val="99"/>
    <w:semiHidden/>
    <w:qFormat/>
    <w:rPr>
      <w:rFonts w:ascii="Tahoma" w:eastAsia="Microsoft YaHei" w:hAnsi="Tahoma"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592</Words>
  <Characters>3379</Characters>
  <Application>Microsoft Office Word</Application>
  <DocSecurity>0</DocSecurity>
  <Lines>28</Lines>
  <Paragraphs>7</Paragraphs>
  <ScaleCrop>false</ScaleCrop>
  <Company/>
  <LinksUpToDate>false</LinksUpToDate>
  <CharactersWithSpaces>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Tang, Xiongzhuo</cp:lastModifiedBy>
  <cp:revision>9</cp:revision>
  <dcterms:created xsi:type="dcterms:W3CDTF">2021-09-15T08:13:00Z</dcterms:created>
  <dcterms:modified xsi:type="dcterms:W3CDTF">2024-09-24T02:59:00Z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3DD9224F0C0B48B7AA38FAE70DBE4006_13</vt:lpwstr>
  </property>
</Properties>
</file>